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C53D" w14:textId="77777777" w:rsidR="008A4133" w:rsidRPr="00C865A0" w:rsidRDefault="008A4133" w:rsidP="008A4133">
      <w:pPr>
        <w:spacing w:after="0"/>
        <w:jc w:val="center"/>
      </w:pPr>
      <w:r w:rsidRPr="00C865A0">
        <w:t>ALABASTER WATER BOARD</w:t>
      </w:r>
    </w:p>
    <w:p w14:paraId="29DB8197" w14:textId="716D87A0" w:rsidR="008A4133" w:rsidRPr="00C865A0" w:rsidRDefault="00AB678C" w:rsidP="008A4133">
      <w:pPr>
        <w:spacing w:after="0"/>
        <w:jc w:val="center"/>
      </w:pPr>
      <w:r>
        <w:t>FEBRUARY 2024</w:t>
      </w:r>
    </w:p>
    <w:p w14:paraId="65073BD2" w14:textId="77777777" w:rsidR="008A4133" w:rsidRPr="00C865A0" w:rsidRDefault="008A4133" w:rsidP="008A4133">
      <w:pPr>
        <w:spacing w:after="0"/>
        <w:jc w:val="center"/>
      </w:pPr>
    </w:p>
    <w:p w14:paraId="618EC972" w14:textId="77777777" w:rsidR="00787A39" w:rsidRDefault="008A4133" w:rsidP="008A4133">
      <w:pPr>
        <w:spacing w:after="0"/>
      </w:pPr>
      <w:r w:rsidRPr="00C865A0">
        <w:t>The Alabaster Water Board</w:t>
      </w:r>
      <w:r w:rsidR="00633344">
        <w:t xml:space="preserve"> (Board)</w:t>
      </w:r>
      <w:r w:rsidRPr="00C865A0">
        <w:t xml:space="preserve"> strives to provide customers with a safe, high quality and reliable water supply. The Board manages its operations efficiently to minimize the cost of water service to its customers</w:t>
      </w:r>
      <w:r w:rsidR="00787A39">
        <w:t xml:space="preserve">, </w:t>
      </w:r>
      <w:r>
        <w:t xml:space="preserve">works to balance the cost of providing service with needed system improvements and </w:t>
      </w:r>
      <w:r w:rsidR="00787A39">
        <w:t xml:space="preserve">strives </w:t>
      </w:r>
      <w:r>
        <w:t>to minimize the cost to existing customers for necessary increases in system capacity</w:t>
      </w:r>
      <w:r w:rsidRPr="00C865A0">
        <w:t>.</w:t>
      </w:r>
    </w:p>
    <w:p w14:paraId="3DD2F24E" w14:textId="77777777" w:rsidR="00787A39" w:rsidRDefault="00787A39" w:rsidP="008A4133">
      <w:pPr>
        <w:spacing w:after="0"/>
      </w:pPr>
    </w:p>
    <w:p w14:paraId="60A676A5" w14:textId="42AB55FB" w:rsidR="008A4133" w:rsidRPr="00C865A0" w:rsidRDefault="008A4133" w:rsidP="008A4133">
      <w:pPr>
        <w:spacing w:after="0"/>
      </w:pPr>
      <w:r>
        <w:t>The Board</w:t>
      </w:r>
      <w:r w:rsidRPr="00C865A0">
        <w:t xml:space="preserve"> has a fiduciary responsibility to ensure that water rates </w:t>
      </w:r>
      <w:r>
        <w:t xml:space="preserve">and fees </w:t>
      </w:r>
      <w:r w:rsidRPr="00C865A0">
        <w:t>are adequate to cover rising wholesale water costs and other operating expenses</w:t>
      </w:r>
      <w:r>
        <w:t xml:space="preserve">, </w:t>
      </w:r>
      <w:r w:rsidRPr="00C865A0">
        <w:t>to cover debt service for water system repair</w:t>
      </w:r>
      <w:r>
        <w:t xml:space="preserve"> and</w:t>
      </w:r>
      <w:r w:rsidRPr="00C865A0">
        <w:t xml:space="preserve"> replacement</w:t>
      </w:r>
      <w:r w:rsidR="002F01CE">
        <w:t>,</w:t>
      </w:r>
      <w:r w:rsidRPr="00C865A0">
        <w:t xml:space="preserve"> </w:t>
      </w:r>
      <w:r>
        <w:t xml:space="preserve">for </w:t>
      </w:r>
      <w:r w:rsidRPr="00C865A0">
        <w:t>planned capital improvements</w:t>
      </w:r>
      <w:r>
        <w:t xml:space="preserve"> and to provide capital funds for necessary increases in system capacity</w:t>
      </w:r>
      <w:r w:rsidRPr="00C865A0">
        <w:t>.</w:t>
      </w:r>
    </w:p>
    <w:p w14:paraId="6D228FC0" w14:textId="77777777" w:rsidR="008A4133" w:rsidRPr="00C865A0" w:rsidRDefault="008A4133" w:rsidP="008A4133">
      <w:pPr>
        <w:spacing w:after="0"/>
      </w:pPr>
    </w:p>
    <w:p w14:paraId="61F1A399" w14:textId="58EF5A71" w:rsidR="00787A39" w:rsidRDefault="008A4133" w:rsidP="00787A39">
      <w:pPr>
        <w:spacing w:after="0"/>
      </w:pPr>
      <w:r>
        <w:t xml:space="preserve">The Board last increased System Development Fees for new construction on </w:t>
      </w:r>
      <w:r w:rsidR="00AB678C">
        <w:t>April 1, 2016</w:t>
      </w:r>
      <w:r>
        <w:t xml:space="preserve">.  The Board retained a professional rate consultant on </w:t>
      </w:r>
      <w:r w:rsidR="0063624F">
        <w:t>June 20, 2023</w:t>
      </w:r>
      <w:r>
        <w:t xml:space="preserve"> to evaluate the </w:t>
      </w:r>
      <w:r w:rsidR="00787A39">
        <w:t xml:space="preserve">adequacy of the </w:t>
      </w:r>
      <w:r>
        <w:t xml:space="preserve">existing System Development </w:t>
      </w:r>
      <w:r w:rsidR="00787A39">
        <w:t>Fees.</w:t>
      </w:r>
    </w:p>
    <w:p w14:paraId="0E1DFF53" w14:textId="77777777" w:rsidR="00787A39" w:rsidRDefault="00787A39" w:rsidP="00787A39">
      <w:pPr>
        <w:spacing w:after="0"/>
      </w:pPr>
    </w:p>
    <w:p w14:paraId="2FD8C55B" w14:textId="0C54A195" w:rsidR="00787A39" w:rsidRDefault="00787A39" w:rsidP="00787A39">
      <w:pPr>
        <w:spacing w:after="0"/>
      </w:pPr>
      <w:r>
        <w:t xml:space="preserve">After a thorough review of the analysis completed by the professional rate consultant, the Board increased System Development Fees on </w:t>
      </w:r>
      <w:r w:rsidR="00AB678C">
        <w:t>February 6</w:t>
      </w:r>
      <w:r>
        <w:t>, 20</w:t>
      </w:r>
      <w:r w:rsidR="00AB678C">
        <w:t>24</w:t>
      </w:r>
      <w:r>
        <w:t xml:space="preserve"> effective April 1, 20</w:t>
      </w:r>
      <w:r w:rsidR="00AB678C">
        <w:t>24</w:t>
      </w:r>
      <w:r>
        <w:t xml:space="preserve"> </w:t>
      </w:r>
      <w:r w:rsidR="00AB678C">
        <w:t xml:space="preserve">and April 1, 2025 </w:t>
      </w:r>
      <w:r>
        <w:t>as shown in the System Development Fee Schedule below.</w:t>
      </w:r>
    </w:p>
    <w:p w14:paraId="2A18025C" w14:textId="77777777" w:rsidR="00787A39" w:rsidRDefault="00787A39" w:rsidP="004D4E0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61F5624" w14:textId="77777777" w:rsidR="005A2FC0" w:rsidRPr="004D4E0D" w:rsidRDefault="009F0038" w:rsidP="004D4E0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D4E0D">
        <w:rPr>
          <w:sz w:val="24"/>
          <w:szCs w:val="24"/>
        </w:rPr>
        <w:t>A</w:t>
      </w:r>
      <w:r w:rsidR="005A2FC0" w:rsidRPr="004D4E0D">
        <w:rPr>
          <w:sz w:val="24"/>
          <w:szCs w:val="24"/>
        </w:rPr>
        <w:t>labaster Water Board</w:t>
      </w:r>
    </w:p>
    <w:p w14:paraId="2B38914D" w14:textId="508FA774" w:rsidR="00F3422F" w:rsidRDefault="004D4E0D" w:rsidP="004D4E0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System Development Fee </w:t>
      </w:r>
      <w:r w:rsidR="00F3422F" w:rsidRPr="004D4E0D">
        <w:rPr>
          <w:sz w:val="24"/>
          <w:szCs w:val="24"/>
        </w:rPr>
        <w:t>Schedule</w:t>
      </w:r>
      <w:r w:rsidR="00787A39">
        <w:rPr>
          <w:sz w:val="24"/>
          <w:szCs w:val="24"/>
        </w:rPr>
        <w:t xml:space="preserve"> Effective April 1, 20</w:t>
      </w:r>
      <w:r w:rsidR="00AB678C">
        <w:rPr>
          <w:sz w:val="24"/>
          <w:szCs w:val="24"/>
        </w:rPr>
        <w:t>24 and 2025</w:t>
      </w:r>
    </w:p>
    <w:p w14:paraId="342AF1F1" w14:textId="77777777" w:rsidR="00787A39" w:rsidRDefault="00787A39" w:rsidP="004D4E0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E908284" w14:textId="77777777" w:rsidR="00787A39" w:rsidRPr="004D4E0D" w:rsidRDefault="00787A39" w:rsidP="004D4E0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System Development Fee Schedule</w:t>
      </w:r>
    </w:p>
    <w:p w14:paraId="38EBE53C" w14:textId="77777777" w:rsidR="00F3422F" w:rsidRDefault="00F3422F" w:rsidP="004D4E0D">
      <w:pPr>
        <w:autoSpaceDE w:val="0"/>
        <w:autoSpaceDN w:val="0"/>
        <w:adjustRightInd w:val="0"/>
        <w:spacing w:after="0" w:line="240" w:lineRule="auto"/>
        <w:ind w:left="2160" w:firstLine="720"/>
        <w:rPr>
          <w:sz w:val="24"/>
          <w:szCs w:val="24"/>
        </w:rPr>
      </w:pPr>
    </w:p>
    <w:p w14:paraId="4CC5FC33" w14:textId="31FC4584" w:rsidR="00A74B35" w:rsidRPr="004D4E0D" w:rsidRDefault="00AB678C" w:rsidP="00AB678C">
      <w:pPr>
        <w:autoSpaceDE w:val="0"/>
        <w:autoSpaceDN w:val="0"/>
        <w:adjustRightInd w:val="0"/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Existing </w:t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  <w:t xml:space="preserve">Effective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Effective</w:t>
      </w:r>
      <w:proofErr w:type="spellEnd"/>
      <w:r w:rsidR="00A74B35">
        <w:rPr>
          <w:sz w:val="24"/>
          <w:szCs w:val="24"/>
        </w:rPr>
        <w:tab/>
      </w:r>
    </w:p>
    <w:p w14:paraId="6268FC5A" w14:textId="023000C6" w:rsidR="00F3422F" w:rsidRPr="004D4E0D" w:rsidRDefault="004D4E0D" w:rsidP="00AB678C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Meter Size</w:t>
      </w:r>
      <w:r>
        <w:rPr>
          <w:sz w:val="24"/>
          <w:szCs w:val="24"/>
          <w:u w:val="single"/>
        </w:rPr>
        <w:tab/>
      </w:r>
      <w:r w:rsidR="00F3422F" w:rsidRPr="004D4E0D">
        <w:rPr>
          <w:sz w:val="24"/>
          <w:szCs w:val="24"/>
          <w:u w:val="single"/>
        </w:rPr>
        <w:tab/>
      </w:r>
      <w:r w:rsidR="00A74B35">
        <w:rPr>
          <w:sz w:val="24"/>
          <w:szCs w:val="24"/>
          <w:u w:val="single"/>
        </w:rPr>
        <w:tab/>
      </w:r>
      <w:r w:rsidR="00AB678C">
        <w:rPr>
          <w:sz w:val="24"/>
          <w:szCs w:val="24"/>
          <w:u w:val="single"/>
        </w:rPr>
        <w:t>April 1, 2016</w:t>
      </w:r>
      <w:r w:rsidR="00F3422F" w:rsidRPr="004D4E0D">
        <w:rPr>
          <w:sz w:val="24"/>
          <w:szCs w:val="24"/>
          <w:u w:val="single"/>
        </w:rPr>
        <w:t xml:space="preserve"> </w:t>
      </w:r>
      <w:r w:rsidR="00F3422F" w:rsidRPr="004D4E0D">
        <w:rPr>
          <w:sz w:val="24"/>
          <w:szCs w:val="24"/>
          <w:u w:val="single"/>
        </w:rPr>
        <w:tab/>
      </w:r>
      <w:r w:rsidR="00F3422F" w:rsidRPr="004D4E0D">
        <w:rPr>
          <w:sz w:val="24"/>
          <w:szCs w:val="24"/>
          <w:u w:val="single"/>
        </w:rPr>
        <w:tab/>
      </w:r>
      <w:r w:rsidR="00A74B35">
        <w:rPr>
          <w:sz w:val="24"/>
          <w:szCs w:val="24"/>
          <w:u w:val="single"/>
        </w:rPr>
        <w:t>April 1, 20</w:t>
      </w:r>
      <w:r w:rsidR="00AB678C">
        <w:rPr>
          <w:sz w:val="24"/>
          <w:szCs w:val="24"/>
          <w:u w:val="single"/>
        </w:rPr>
        <w:t>24</w:t>
      </w:r>
      <w:r w:rsidR="00AB678C">
        <w:rPr>
          <w:sz w:val="24"/>
          <w:szCs w:val="24"/>
          <w:u w:val="single"/>
        </w:rPr>
        <w:tab/>
      </w:r>
      <w:r w:rsidR="00AB678C">
        <w:rPr>
          <w:sz w:val="24"/>
          <w:szCs w:val="24"/>
          <w:u w:val="single"/>
        </w:rPr>
        <w:tab/>
        <w:t>April 1, 2025</w:t>
      </w:r>
    </w:p>
    <w:p w14:paraId="70A60200" w14:textId="28337232" w:rsidR="005A2FC0" w:rsidRDefault="00F3422F" w:rsidP="00AB678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D4E0D">
        <w:rPr>
          <w:sz w:val="24"/>
          <w:szCs w:val="24"/>
        </w:rPr>
        <w:t>¾</w:t>
      </w:r>
      <w:r w:rsidR="004D4E0D">
        <w:rPr>
          <w:sz w:val="24"/>
          <w:szCs w:val="24"/>
        </w:rPr>
        <w:t>-inch</w:t>
      </w:r>
      <w:r w:rsidRPr="004D4E0D">
        <w:rPr>
          <w:sz w:val="24"/>
          <w:szCs w:val="24"/>
        </w:rPr>
        <w:t xml:space="preserve"> </w:t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  <w:t>$1,800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$2,100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$2,400</w:t>
      </w:r>
    </w:p>
    <w:p w14:paraId="2BA7BD20" w14:textId="6D5739C9" w:rsidR="004D4E0D" w:rsidRPr="00AB678C" w:rsidRDefault="00A74B35" w:rsidP="00AB678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678C">
        <w:rPr>
          <w:sz w:val="24"/>
          <w:szCs w:val="24"/>
        </w:rPr>
        <w:t>1-inch</w:t>
      </w:r>
      <w:r w:rsidRPr="00AB678C">
        <w:rPr>
          <w:sz w:val="24"/>
          <w:szCs w:val="24"/>
        </w:rPr>
        <w:tab/>
      </w:r>
      <w:r w:rsidRPr="00AB678C">
        <w:rPr>
          <w:sz w:val="24"/>
          <w:szCs w:val="24"/>
        </w:rPr>
        <w:tab/>
      </w:r>
      <w:r w:rsidRPr="00AB678C">
        <w:rPr>
          <w:sz w:val="24"/>
          <w:szCs w:val="24"/>
        </w:rPr>
        <w:tab/>
      </w:r>
      <w:r w:rsidRPr="00AB678C">
        <w:rPr>
          <w:sz w:val="24"/>
          <w:szCs w:val="24"/>
        </w:rPr>
        <w:tab/>
        <w:t>$3,000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$3,500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$4,000</w:t>
      </w:r>
    </w:p>
    <w:p w14:paraId="5D0F49AB" w14:textId="328D2F55" w:rsidR="004D4E0D" w:rsidRDefault="007C2E5B" w:rsidP="00AB678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D4E0D">
        <w:rPr>
          <w:sz w:val="24"/>
          <w:szCs w:val="24"/>
        </w:rPr>
        <w:t>2</w:t>
      </w:r>
      <w:r w:rsidR="004D4E0D">
        <w:rPr>
          <w:sz w:val="24"/>
          <w:szCs w:val="24"/>
        </w:rPr>
        <w:t>-inch</w:t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  <w:t>$9,500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$11,100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$12,700</w:t>
      </w:r>
    </w:p>
    <w:p w14:paraId="2E8A052E" w14:textId="035FF369" w:rsidR="00A74B35" w:rsidRPr="004D4E0D" w:rsidRDefault="007C2E5B" w:rsidP="00AB678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D4E0D">
        <w:rPr>
          <w:sz w:val="24"/>
          <w:szCs w:val="24"/>
        </w:rPr>
        <w:t>4</w:t>
      </w:r>
      <w:r w:rsidR="004D4E0D">
        <w:rPr>
          <w:sz w:val="24"/>
          <w:szCs w:val="24"/>
        </w:rPr>
        <w:t>-inch</w:t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  <w:t>$30,000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$35,000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$40,000</w:t>
      </w:r>
    </w:p>
    <w:p w14:paraId="7FF58A4D" w14:textId="63587C81" w:rsidR="00A74B35" w:rsidRPr="004D4E0D" w:rsidRDefault="007C2E5B" w:rsidP="00AB678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D4E0D">
        <w:rPr>
          <w:sz w:val="24"/>
          <w:szCs w:val="24"/>
        </w:rPr>
        <w:t>6</w:t>
      </w:r>
      <w:r w:rsidR="004D4E0D">
        <w:rPr>
          <w:sz w:val="24"/>
          <w:szCs w:val="24"/>
        </w:rPr>
        <w:t>-inch</w:t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</w:r>
      <w:r w:rsidR="00A74B35">
        <w:rPr>
          <w:sz w:val="24"/>
          <w:szCs w:val="24"/>
        </w:rPr>
        <w:tab/>
        <w:t>$59,900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$69,900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$79,900</w:t>
      </w:r>
    </w:p>
    <w:p w14:paraId="09C7AEF3" w14:textId="280EA575" w:rsidR="004D4E0D" w:rsidRDefault="004D4E0D" w:rsidP="00AB678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8-inch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B35">
        <w:rPr>
          <w:sz w:val="24"/>
          <w:szCs w:val="24"/>
        </w:rPr>
        <w:tab/>
        <w:t>$95,900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$111,900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$127,900</w:t>
      </w:r>
    </w:p>
    <w:p w14:paraId="4C8F673C" w14:textId="77777777" w:rsidR="00411077" w:rsidRDefault="00411077" w:rsidP="00AB678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4784329" w14:textId="6CE946DD" w:rsidR="00A74B35" w:rsidRDefault="00A74B35" w:rsidP="00AB678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Multi-Family per Unit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$1,100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678C">
        <w:rPr>
          <w:sz w:val="24"/>
          <w:szCs w:val="24"/>
        </w:rPr>
        <w:t>$1,300</w:t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</w:r>
      <w:r w:rsidR="00AB678C">
        <w:rPr>
          <w:sz w:val="24"/>
          <w:szCs w:val="24"/>
        </w:rPr>
        <w:tab/>
        <w:t>$1,500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B557FC" w14:textId="77777777" w:rsidR="00787A39" w:rsidRDefault="00787A39" w:rsidP="00A74B35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sz w:val="24"/>
          <w:szCs w:val="24"/>
        </w:rPr>
      </w:pPr>
    </w:p>
    <w:p w14:paraId="3BFD1B17" w14:textId="77777777" w:rsidR="00787A39" w:rsidRDefault="00787A39" w:rsidP="00787A39">
      <w:r w:rsidRPr="00C865A0">
        <w:t>For additional information, please call the Alabaster Water Board at 205-663-6155.</w:t>
      </w:r>
    </w:p>
    <w:p w14:paraId="12F32CDF" w14:textId="62D52472" w:rsidR="000B04FC" w:rsidRPr="00C865A0" w:rsidRDefault="000B04FC" w:rsidP="00787A39">
      <w:r w:rsidRPr="000B04FC">
        <w:t xml:space="preserve">For more information regarding water rates go to </w:t>
      </w:r>
      <w:hyperlink r:id="rId7" w:history="1">
        <w:r w:rsidRPr="000B04FC">
          <w:rPr>
            <w:rStyle w:val="Hyperlink"/>
          </w:rPr>
          <w:t>www.alabasterwater.com/information/waterrates</w:t>
        </w:r>
      </w:hyperlink>
    </w:p>
    <w:p w14:paraId="78051233" w14:textId="77777777" w:rsidR="00787A39" w:rsidRPr="004D4E0D" w:rsidRDefault="00787A39" w:rsidP="00787A3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787A39" w:rsidRPr="004D4E0D" w:rsidSect="00C51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F547" w14:textId="77777777" w:rsidR="00C51C0A" w:rsidRDefault="00C51C0A" w:rsidP="009F7B75">
      <w:pPr>
        <w:spacing w:after="0" w:line="240" w:lineRule="auto"/>
      </w:pPr>
      <w:r>
        <w:separator/>
      </w:r>
    </w:p>
  </w:endnote>
  <w:endnote w:type="continuationSeparator" w:id="0">
    <w:p w14:paraId="020670B1" w14:textId="77777777" w:rsidR="00C51C0A" w:rsidRDefault="00C51C0A" w:rsidP="009F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1E04" w14:textId="77777777" w:rsidR="009F7B75" w:rsidRDefault="009F7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6A12" w14:textId="77777777" w:rsidR="009F7B75" w:rsidRDefault="009F7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C849" w14:textId="77777777" w:rsidR="009F7B75" w:rsidRDefault="009F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EC49" w14:textId="77777777" w:rsidR="00C51C0A" w:rsidRDefault="00C51C0A" w:rsidP="009F7B75">
      <w:pPr>
        <w:spacing w:after="0" w:line="240" w:lineRule="auto"/>
      </w:pPr>
      <w:r>
        <w:separator/>
      </w:r>
    </w:p>
  </w:footnote>
  <w:footnote w:type="continuationSeparator" w:id="0">
    <w:p w14:paraId="728122C1" w14:textId="77777777" w:rsidR="00C51C0A" w:rsidRDefault="00C51C0A" w:rsidP="009F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A820" w14:textId="77777777" w:rsidR="009F7B75" w:rsidRDefault="009F7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6D5A" w14:textId="77777777" w:rsidR="009F7B75" w:rsidRDefault="009F7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9E8C" w14:textId="77777777" w:rsidR="009F7B75" w:rsidRDefault="009F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717D"/>
    <w:multiLevelType w:val="hybridMultilevel"/>
    <w:tmpl w:val="465A4D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8D7064"/>
    <w:multiLevelType w:val="hybridMultilevel"/>
    <w:tmpl w:val="465A4D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144078"/>
    <w:multiLevelType w:val="hybridMultilevel"/>
    <w:tmpl w:val="30CA25BA"/>
    <w:lvl w:ilvl="0" w:tplc="636A566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A2F4D"/>
    <w:multiLevelType w:val="hybridMultilevel"/>
    <w:tmpl w:val="478650CC"/>
    <w:lvl w:ilvl="0" w:tplc="2854A0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3217657">
    <w:abstractNumId w:val="0"/>
  </w:num>
  <w:num w:numId="2" w16cid:durableId="1848012883">
    <w:abstractNumId w:val="3"/>
  </w:num>
  <w:num w:numId="3" w16cid:durableId="284580381">
    <w:abstractNumId w:val="1"/>
  </w:num>
  <w:num w:numId="4" w16cid:durableId="214735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02"/>
    <w:rsid w:val="00035ADE"/>
    <w:rsid w:val="00045FC1"/>
    <w:rsid w:val="00056B5A"/>
    <w:rsid w:val="000A0B79"/>
    <w:rsid w:val="000A263B"/>
    <w:rsid w:val="000B04FC"/>
    <w:rsid w:val="000B23F0"/>
    <w:rsid w:val="001816E8"/>
    <w:rsid w:val="00181F24"/>
    <w:rsid w:val="00185E10"/>
    <w:rsid w:val="001E2B5F"/>
    <w:rsid w:val="00283D79"/>
    <w:rsid w:val="002F01CE"/>
    <w:rsid w:val="003F3FE0"/>
    <w:rsid w:val="00411077"/>
    <w:rsid w:val="004313FA"/>
    <w:rsid w:val="00450645"/>
    <w:rsid w:val="00485A8F"/>
    <w:rsid w:val="004A5B30"/>
    <w:rsid w:val="004B242E"/>
    <w:rsid w:val="004B34D8"/>
    <w:rsid w:val="004B5C86"/>
    <w:rsid w:val="004D4E0D"/>
    <w:rsid w:val="00564785"/>
    <w:rsid w:val="00567312"/>
    <w:rsid w:val="00590235"/>
    <w:rsid w:val="00593912"/>
    <w:rsid w:val="005A2FC0"/>
    <w:rsid w:val="005A42FF"/>
    <w:rsid w:val="005C7160"/>
    <w:rsid w:val="005D2FE0"/>
    <w:rsid w:val="006051DF"/>
    <w:rsid w:val="00614336"/>
    <w:rsid w:val="00633344"/>
    <w:rsid w:val="0063624F"/>
    <w:rsid w:val="007005F8"/>
    <w:rsid w:val="00705164"/>
    <w:rsid w:val="00712DFE"/>
    <w:rsid w:val="00751DD9"/>
    <w:rsid w:val="00787A39"/>
    <w:rsid w:val="007B5A9D"/>
    <w:rsid w:val="007B707A"/>
    <w:rsid w:val="007C2E5B"/>
    <w:rsid w:val="007E3501"/>
    <w:rsid w:val="00824CD1"/>
    <w:rsid w:val="00842B6D"/>
    <w:rsid w:val="008A2D8F"/>
    <w:rsid w:val="008A2F1E"/>
    <w:rsid w:val="008A4133"/>
    <w:rsid w:val="008B1E41"/>
    <w:rsid w:val="008F1F87"/>
    <w:rsid w:val="00902675"/>
    <w:rsid w:val="0094034A"/>
    <w:rsid w:val="009500E2"/>
    <w:rsid w:val="00973D02"/>
    <w:rsid w:val="00974D13"/>
    <w:rsid w:val="009F0038"/>
    <w:rsid w:val="009F7B75"/>
    <w:rsid w:val="00A270AA"/>
    <w:rsid w:val="00A35520"/>
    <w:rsid w:val="00A57C9C"/>
    <w:rsid w:val="00A74B35"/>
    <w:rsid w:val="00AB678C"/>
    <w:rsid w:val="00AC299C"/>
    <w:rsid w:val="00B10C4F"/>
    <w:rsid w:val="00B3014E"/>
    <w:rsid w:val="00B57894"/>
    <w:rsid w:val="00B805C7"/>
    <w:rsid w:val="00BE4FDB"/>
    <w:rsid w:val="00BF4266"/>
    <w:rsid w:val="00C51C0A"/>
    <w:rsid w:val="00C9437B"/>
    <w:rsid w:val="00CD5C24"/>
    <w:rsid w:val="00D11E72"/>
    <w:rsid w:val="00D13DB0"/>
    <w:rsid w:val="00D30BCE"/>
    <w:rsid w:val="00D53133"/>
    <w:rsid w:val="00D5492A"/>
    <w:rsid w:val="00DC0807"/>
    <w:rsid w:val="00DD7EF3"/>
    <w:rsid w:val="00DF0426"/>
    <w:rsid w:val="00DF2355"/>
    <w:rsid w:val="00E05CCA"/>
    <w:rsid w:val="00E43965"/>
    <w:rsid w:val="00E562B4"/>
    <w:rsid w:val="00EA77A9"/>
    <w:rsid w:val="00EC39CD"/>
    <w:rsid w:val="00EC4B20"/>
    <w:rsid w:val="00F32582"/>
    <w:rsid w:val="00F3422F"/>
    <w:rsid w:val="00F817E8"/>
    <w:rsid w:val="00F85706"/>
    <w:rsid w:val="00FB4571"/>
    <w:rsid w:val="00F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63573"/>
  <w15:docId w15:val="{B84E9763-8EDD-483D-A151-A02C0D5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B75"/>
  </w:style>
  <w:style w:type="paragraph" w:styleId="Footer">
    <w:name w:val="footer"/>
    <w:basedOn w:val="Normal"/>
    <w:link w:val="FooterChar"/>
    <w:uiPriority w:val="99"/>
    <w:unhideWhenUsed/>
    <w:rsid w:val="009F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B75"/>
  </w:style>
  <w:style w:type="paragraph" w:styleId="BalloonText">
    <w:name w:val="Balloon Text"/>
    <w:basedOn w:val="Normal"/>
    <w:link w:val="BalloonTextChar"/>
    <w:uiPriority w:val="99"/>
    <w:semiHidden/>
    <w:unhideWhenUsed/>
    <w:rsid w:val="008A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www.alabasterwater.com/information/waterrat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Edward Watson</cp:lastModifiedBy>
  <cp:revision>3</cp:revision>
  <cp:lastPrinted>2024-01-30T17:37:00Z</cp:lastPrinted>
  <dcterms:created xsi:type="dcterms:W3CDTF">2024-02-16T21:01:00Z</dcterms:created>
  <dcterms:modified xsi:type="dcterms:W3CDTF">2024-02-20T22:45:00Z</dcterms:modified>
</cp:coreProperties>
</file>